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9BD23" w14:textId="0DEA0EC5" w:rsidR="001358CD" w:rsidRPr="001358CD" w:rsidRDefault="001358CD" w:rsidP="001358CD">
      <w:pPr>
        <w:pStyle w:val="Nagwek"/>
        <w:jc w:val="right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Załącznik do umowy</w:t>
      </w:r>
    </w:p>
    <w:p w14:paraId="553B4AD6" w14:textId="77777777" w:rsidR="001358CD" w:rsidRDefault="001358CD">
      <w:pPr>
        <w:spacing w:after="60"/>
        <w:jc w:val="center"/>
        <w:rPr>
          <w:rFonts w:asciiTheme="minorHAnsi" w:hAnsiTheme="minorHAnsi"/>
          <w:b/>
          <w:color w:val="auto"/>
          <w:sz w:val="20"/>
          <w:szCs w:val="20"/>
          <w:lang w:val="pl-PL"/>
        </w:rPr>
      </w:pPr>
    </w:p>
    <w:p w14:paraId="1D4C0B42" w14:textId="4449908D" w:rsidR="001B441F" w:rsidRPr="00401DB8" w:rsidRDefault="00706A3E">
      <w:pPr>
        <w:spacing w:after="60"/>
        <w:jc w:val="center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RAPORT ZGODNOŚCI Z ZASADĄ DNSH</w:t>
      </w:r>
    </w:p>
    <w:p w14:paraId="09589BB3" w14:textId="77777777" w:rsidR="001B441F" w:rsidRPr="00401DB8" w:rsidRDefault="00706A3E">
      <w:pPr>
        <w:jc w:val="center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i/>
          <w:color w:val="auto"/>
          <w:sz w:val="20"/>
          <w:szCs w:val="20"/>
          <w:lang w:val="pl-PL"/>
        </w:rPr>
        <w:t>dla projektu „Termomodernizacja Muzeum im. Przypkowskich w Jędrzejowie”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2835"/>
        <w:gridCol w:w="6123"/>
      </w:tblGrid>
      <w:tr w:rsidR="00401DB8" w:rsidRPr="00401DB8" w14:paraId="12ECBA10" w14:textId="77777777" w:rsidTr="00401DB8">
        <w:trPr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759E8C3" w14:textId="77777777" w:rsidR="001B441F" w:rsidRPr="00401DB8" w:rsidRDefault="00706A3E">
            <w:pPr>
              <w:spacing w:after="20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b/>
                <w:color w:val="auto"/>
                <w:sz w:val="20"/>
                <w:szCs w:val="20"/>
                <w:lang w:val="pl-PL"/>
              </w:rPr>
              <w:t>Beneficjent</w:t>
            </w:r>
          </w:p>
        </w:tc>
        <w:tc>
          <w:tcPr>
            <w:tcW w:w="6123" w:type="dxa"/>
            <w:shd w:val="clear" w:color="auto" w:fill="D9D9D9" w:themeFill="background1" w:themeFillShade="D9"/>
            <w:vAlign w:val="center"/>
          </w:tcPr>
          <w:p w14:paraId="3F43464C" w14:textId="77777777" w:rsidR="001B441F" w:rsidRPr="00401DB8" w:rsidRDefault="00706A3E">
            <w:pPr>
              <w:spacing w:after="20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Powiat Jędrzejowski</w:t>
            </w:r>
          </w:p>
        </w:tc>
      </w:tr>
      <w:tr w:rsidR="00401DB8" w:rsidRPr="00401DB8" w14:paraId="51A88463" w14:textId="77777777" w:rsidTr="00401DB8">
        <w:trPr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EAAB33C" w14:textId="77777777" w:rsidR="001B441F" w:rsidRPr="00401DB8" w:rsidRDefault="00706A3E">
            <w:pPr>
              <w:spacing w:after="20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b/>
                <w:color w:val="auto"/>
                <w:sz w:val="20"/>
                <w:szCs w:val="20"/>
                <w:lang w:val="pl-PL"/>
              </w:rPr>
              <w:t>Okres realizacji</w:t>
            </w:r>
          </w:p>
        </w:tc>
        <w:tc>
          <w:tcPr>
            <w:tcW w:w="6123" w:type="dxa"/>
            <w:shd w:val="clear" w:color="auto" w:fill="D9D9D9" w:themeFill="background1" w:themeFillShade="D9"/>
            <w:vAlign w:val="center"/>
          </w:tcPr>
          <w:p w14:paraId="15AAB9D9" w14:textId="09A2EF29" w:rsidR="001B441F" w:rsidRPr="00401DB8" w:rsidRDefault="002424DD">
            <w:pPr>
              <w:spacing w:after="20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……………………………..</w:t>
            </w:r>
          </w:p>
        </w:tc>
      </w:tr>
      <w:tr w:rsidR="00401DB8" w:rsidRPr="001358CD" w14:paraId="47CA9498" w14:textId="77777777" w:rsidTr="00401DB8">
        <w:trPr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8EB998A" w14:textId="77777777" w:rsidR="001B441F" w:rsidRPr="00401DB8" w:rsidRDefault="00706A3E">
            <w:pPr>
              <w:spacing w:after="20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b/>
                <w:color w:val="auto"/>
                <w:sz w:val="20"/>
                <w:szCs w:val="20"/>
                <w:lang w:val="pl-PL"/>
              </w:rPr>
              <w:t>Podstawa opracowania</w:t>
            </w:r>
          </w:p>
        </w:tc>
        <w:tc>
          <w:tcPr>
            <w:tcW w:w="6123" w:type="dxa"/>
            <w:shd w:val="clear" w:color="auto" w:fill="D9D9D9" w:themeFill="background1" w:themeFillShade="D9"/>
            <w:vAlign w:val="center"/>
          </w:tcPr>
          <w:p w14:paraId="116E193B" w14:textId="77777777" w:rsidR="001B441F" w:rsidRPr="00401DB8" w:rsidRDefault="00706A3E">
            <w:pPr>
              <w:spacing w:after="20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Wniosek o dofinansowanie oraz SWZ dotyczące realizacji inwestycji</w:t>
            </w:r>
          </w:p>
        </w:tc>
      </w:tr>
    </w:tbl>
    <w:p w14:paraId="41B372D8" w14:textId="77777777" w:rsidR="001B441F" w:rsidRPr="00401DB8" w:rsidRDefault="001B441F">
      <w:pPr>
        <w:rPr>
          <w:rFonts w:asciiTheme="minorHAnsi" w:hAnsiTheme="minorHAnsi"/>
          <w:color w:val="auto"/>
          <w:sz w:val="20"/>
          <w:szCs w:val="20"/>
          <w:lang w:val="pl-PL"/>
        </w:rPr>
      </w:pPr>
    </w:p>
    <w:p w14:paraId="1C49AA54" w14:textId="77777777" w:rsidR="001B441F" w:rsidRPr="00401DB8" w:rsidRDefault="00706A3E" w:rsidP="00401DB8">
      <w:pPr>
        <w:pStyle w:val="Akapitzlist"/>
        <w:spacing w:before="160" w:after="8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Cel raportu</w:t>
      </w:r>
    </w:p>
    <w:p w14:paraId="51181488" w14:textId="77777777" w:rsidR="001B441F" w:rsidRPr="00401DB8" w:rsidRDefault="00706A3E" w:rsidP="00401DB8">
      <w:pPr>
        <w:pStyle w:val="Akapitzlist"/>
        <w:numPr>
          <w:ilvl w:val="0"/>
          <w:numId w:val="11"/>
        </w:numPr>
        <w:spacing w:after="12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Raport potwierdza, że projekt termomodernizacji Muzeum im. Przypkowskich w Jędrzejowie został zaplanowany w sposób zgodny z zasadą „nie czyń poważnych szkód” (DNSH), w szczególności w odniesieniu do klimatu, środowiska, gospodarki odpadami, ochrony zieleni oraz trwałości rezultatów inwestycji.</w:t>
      </w:r>
    </w:p>
    <w:p w14:paraId="23D89234" w14:textId="77777777" w:rsidR="001B441F" w:rsidRPr="00401DB8" w:rsidRDefault="00706A3E" w:rsidP="00401DB8">
      <w:pPr>
        <w:pStyle w:val="Akapitzlist"/>
        <w:numPr>
          <w:ilvl w:val="0"/>
          <w:numId w:val="11"/>
        </w:numPr>
        <w:spacing w:before="160" w:after="8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Zakres przedsięwzięcia</w:t>
      </w:r>
    </w:p>
    <w:p w14:paraId="466DA4D7" w14:textId="77777777" w:rsidR="001B441F" w:rsidRPr="00401DB8" w:rsidRDefault="00706A3E" w:rsidP="00401DB8">
      <w:pPr>
        <w:pStyle w:val="Listapunktowana"/>
        <w:numPr>
          <w:ilvl w:val="0"/>
          <w:numId w:val="10"/>
        </w:numPr>
        <w:spacing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modernizacja instalacji centralnego ogrzewania wraz z pompą ciepła jako podstawowym źródłem ciepła,</w:t>
      </w:r>
    </w:p>
    <w:p w14:paraId="77599EAC" w14:textId="77777777" w:rsidR="001B441F" w:rsidRPr="00401DB8" w:rsidRDefault="00706A3E" w:rsidP="00401DB8">
      <w:pPr>
        <w:pStyle w:val="Listapunktowana"/>
        <w:numPr>
          <w:ilvl w:val="0"/>
          <w:numId w:val="10"/>
        </w:numPr>
        <w:spacing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wymiana oświetlenia na LED wraz z montażem kompensatorów mocy biernej,</w:t>
      </w:r>
    </w:p>
    <w:p w14:paraId="44293321" w14:textId="77777777" w:rsidR="001B441F" w:rsidRPr="00401DB8" w:rsidRDefault="00706A3E" w:rsidP="00401DB8">
      <w:pPr>
        <w:pStyle w:val="Listapunktowana"/>
        <w:numPr>
          <w:ilvl w:val="0"/>
          <w:numId w:val="10"/>
        </w:numPr>
        <w:spacing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montaż instalacji fotowoltaicznej o mocy 30 kWp wraz z magazynem energii 40 kWh,</w:t>
      </w:r>
    </w:p>
    <w:p w14:paraId="7B9B628F" w14:textId="77777777" w:rsidR="001B441F" w:rsidRPr="00401DB8" w:rsidRDefault="00706A3E" w:rsidP="00401DB8">
      <w:pPr>
        <w:pStyle w:val="Listapunktowana"/>
        <w:numPr>
          <w:ilvl w:val="0"/>
          <w:numId w:val="10"/>
        </w:numPr>
        <w:spacing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ocieplenie stropu nad ostatnią kondygnacją,</w:t>
      </w:r>
    </w:p>
    <w:p w14:paraId="13210588" w14:textId="77777777" w:rsidR="001B441F" w:rsidRPr="00401DB8" w:rsidRDefault="00706A3E" w:rsidP="00401DB8">
      <w:pPr>
        <w:pStyle w:val="Listapunktowana"/>
        <w:numPr>
          <w:ilvl w:val="0"/>
          <w:numId w:val="10"/>
        </w:numPr>
        <w:spacing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wymiana stolarki okiennej i drzwiowej zewnętrznej.</w:t>
      </w:r>
    </w:p>
    <w:p w14:paraId="74DDF65D" w14:textId="77777777" w:rsidR="001B441F" w:rsidRPr="00401DB8" w:rsidRDefault="00706A3E" w:rsidP="00401DB8">
      <w:pPr>
        <w:pStyle w:val="Akapitzlist"/>
        <w:numPr>
          <w:ilvl w:val="0"/>
          <w:numId w:val="11"/>
        </w:numPr>
        <w:spacing w:before="160" w:after="8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Ocena zgodności z DNSH</w:t>
      </w:r>
    </w:p>
    <w:p w14:paraId="02414453" w14:textId="77777777" w:rsidR="001B441F" w:rsidRPr="00401DB8" w:rsidRDefault="00706A3E" w:rsidP="00401DB8">
      <w:pPr>
        <w:pStyle w:val="Akapitzlist"/>
        <w:numPr>
          <w:ilvl w:val="0"/>
          <w:numId w:val="13"/>
        </w:numPr>
        <w:spacing w:before="80"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Klimat i efektywność energetyczna</w:t>
      </w:r>
    </w:p>
    <w:p w14:paraId="1CE6E56B" w14:textId="77777777" w:rsidR="001B441F" w:rsidRPr="00401DB8" w:rsidRDefault="00706A3E" w:rsidP="00401DB8">
      <w:pPr>
        <w:pStyle w:val="Akapitzlist"/>
        <w:spacing w:after="10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Projekt służy poprawie efektywności energetycznej budynku, ograniczeniu zużycia energii ze źródeł nieodnawialnych oraz redukcji emisji CO₂. Zakłada zastosowanie urządzeń energooszczędnych, instalacji o wysokiej efektywności energetycznej oraz odnawialnych źródeł energii.</w:t>
      </w:r>
    </w:p>
    <w:p w14:paraId="60FBF55D" w14:textId="77777777" w:rsidR="001B441F" w:rsidRPr="00401DB8" w:rsidRDefault="00706A3E" w:rsidP="00401DB8">
      <w:pPr>
        <w:pStyle w:val="Akapitzlist"/>
        <w:numPr>
          <w:ilvl w:val="0"/>
          <w:numId w:val="13"/>
        </w:numPr>
        <w:spacing w:before="80"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Adaptacja do zmian klimatu</w:t>
      </w:r>
    </w:p>
    <w:p w14:paraId="3D00EA2B" w14:textId="77777777" w:rsidR="001B441F" w:rsidRPr="00401DB8" w:rsidRDefault="00706A3E" w:rsidP="00401DB8">
      <w:pPr>
        <w:pStyle w:val="Akapitzlist"/>
        <w:spacing w:after="10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Rozwiązania projektowe uwzględniają odporność infrastruktury na niekorzystne oddziaływanie zmian klimatu, w tym intensywne opady, silne wiatry, wzrost wilgotności, obciążenie śniegiem oraz ryzyko przegrzewania pomieszczeń. Przewidziano również zabezpieczenia przeciwpożarowe oraz ochronę przed wilgocią.</w:t>
      </w:r>
    </w:p>
    <w:p w14:paraId="67245759" w14:textId="77777777" w:rsidR="001B441F" w:rsidRPr="00401DB8" w:rsidRDefault="00706A3E" w:rsidP="00401DB8">
      <w:pPr>
        <w:pStyle w:val="Akapitzlist"/>
        <w:numPr>
          <w:ilvl w:val="0"/>
          <w:numId w:val="13"/>
        </w:numPr>
        <w:spacing w:before="80"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Gospodarka odpadami i zasobami</w:t>
      </w:r>
    </w:p>
    <w:p w14:paraId="7837E877" w14:textId="77777777" w:rsidR="001B441F" w:rsidRPr="00401DB8" w:rsidRDefault="00706A3E" w:rsidP="00401DB8">
      <w:pPr>
        <w:pStyle w:val="Akapitzlist"/>
        <w:spacing w:after="10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W projekcie przyjęto minimalizację zużycia energii, wody i materiałów budowlanych oraz postępowanie z odpadami zgodnie z hierarchią: zapobieganie, ponowne użycie, recykling.</w:t>
      </w:r>
    </w:p>
    <w:p w14:paraId="13DE1618" w14:textId="77777777" w:rsidR="001B441F" w:rsidRPr="00401DB8" w:rsidRDefault="00706A3E" w:rsidP="00401DB8">
      <w:pPr>
        <w:pStyle w:val="Akapitzlist"/>
        <w:numPr>
          <w:ilvl w:val="0"/>
          <w:numId w:val="13"/>
        </w:numPr>
        <w:spacing w:before="80"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Ochrona przyrody i zieleni</w:t>
      </w:r>
    </w:p>
    <w:p w14:paraId="4A0249BF" w14:textId="77777777" w:rsidR="001B441F" w:rsidRPr="00401DB8" w:rsidRDefault="00706A3E" w:rsidP="00401DB8">
      <w:pPr>
        <w:pStyle w:val="Akapitzlist"/>
        <w:spacing w:after="10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W trakcie realizacji mają zostać zachowane i odpowiednio zabezpieczone drzewa oraz istniejąca zieleń. W razie stwierdzenia gniazd ptaków lub siedlisk innych gatunków chronionych prace powinny zostać poprzedzone uzyskaniem decyzji właściwego organu ochrony środowiska.</w:t>
      </w:r>
    </w:p>
    <w:p w14:paraId="54D3F29C" w14:textId="77777777" w:rsidR="001B441F" w:rsidRPr="00401DB8" w:rsidRDefault="00706A3E" w:rsidP="00401DB8">
      <w:pPr>
        <w:pStyle w:val="Akapitzlist"/>
        <w:numPr>
          <w:ilvl w:val="0"/>
          <w:numId w:val="13"/>
        </w:numPr>
        <w:spacing w:before="80" w:after="4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Zgodność z prawem ochrony środowiska</w:t>
      </w:r>
    </w:p>
    <w:p w14:paraId="620F3CC9" w14:textId="77777777" w:rsidR="001B441F" w:rsidRPr="00401DB8" w:rsidRDefault="00706A3E" w:rsidP="00401DB8">
      <w:pPr>
        <w:pStyle w:val="Akapitzlist"/>
        <w:spacing w:after="10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Projekt został opisany jako niewymagający przeprowadzenia oceny oddziaływania na środowisko ani uzyskania decyzji środowiskowej. Jednocześnie przewidziano jego realizację z poszanowaniem zasad DNSH, ochrony przyrody i ochrony obszarów cennych środowiskowo.</w:t>
      </w:r>
    </w:p>
    <w:p w14:paraId="7D9BDD5B" w14:textId="77777777" w:rsidR="001B441F" w:rsidRPr="00401DB8" w:rsidRDefault="00706A3E" w:rsidP="00401DB8">
      <w:pPr>
        <w:pStyle w:val="Akapitzlist"/>
        <w:numPr>
          <w:ilvl w:val="0"/>
          <w:numId w:val="11"/>
        </w:numPr>
        <w:spacing w:before="160" w:after="8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Wskaźniki potwierdzające efekt środowiskowy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4445"/>
        <w:gridCol w:w="3286"/>
        <w:gridCol w:w="2442"/>
      </w:tblGrid>
      <w:tr w:rsidR="00401DB8" w:rsidRPr="00401DB8" w14:paraId="67EE0DDB" w14:textId="77777777" w:rsidTr="00401DB8">
        <w:trPr>
          <w:jc w:val="center"/>
        </w:trPr>
        <w:tc>
          <w:tcPr>
            <w:tcW w:w="4445" w:type="dxa"/>
            <w:shd w:val="clear" w:color="auto" w:fill="D9D9D9" w:themeFill="background1" w:themeFillShade="D9"/>
            <w:vAlign w:val="center"/>
          </w:tcPr>
          <w:p w14:paraId="5F87F34D" w14:textId="77777777" w:rsidR="001B441F" w:rsidRPr="00401DB8" w:rsidRDefault="00706A3E">
            <w:pPr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b/>
                <w:color w:val="auto"/>
                <w:sz w:val="20"/>
                <w:szCs w:val="20"/>
                <w:lang w:val="pl-PL"/>
              </w:rPr>
              <w:lastRenderedPageBreak/>
              <w:t>Wskaźnik</w:t>
            </w:r>
          </w:p>
        </w:tc>
        <w:tc>
          <w:tcPr>
            <w:tcW w:w="3286" w:type="dxa"/>
            <w:shd w:val="clear" w:color="auto" w:fill="D9D9D9" w:themeFill="background1" w:themeFillShade="D9"/>
            <w:vAlign w:val="center"/>
          </w:tcPr>
          <w:p w14:paraId="7D8DCBED" w14:textId="77777777" w:rsidR="001B441F" w:rsidRPr="00401DB8" w:rsidRDefault="00706A3E">
            <w:pPr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b/>
                <w:color w:val="auto"/>
                <w:sz w:val="20"/>
                <w:szCs w:val="20"/>
                <w:lang w:val="pl-PL"/>
              </w:rPr>
              <w:t>Wartość docelowa</w:t>
            </w:r>
          </w:p>
        </w:tc>
        <w:tc>
          <w:tcPr>
            <w:tcW w:w="2442" w:type="dxa"/>
            <w:shd w:val="clear" w:color="auto" w:fill="D9D9D9" w:themeFill="background1" w:themeFillShade="D9"/>
            <w:vAlign w:val="center"/>
          </w:tcPr>
          <w:p w14:paraId="43D54613" w14:textId="77777777" w:rsidR="001B441F" w:rsidRPr="00401DB8" w:rsidRDefault="00706A3E">
            <w:pPr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b/>
                <w:color w:val="auto"/>
                <w:sz w:val="20"/>
                <w:szCs w:val="20"/>
                <w:lang w:val="pl-PL"/>
              </w:rPr>
              <w:t>Sposób potwierdzenia</w:t>
            </w:r>
          </w:p>
        </w:tc>
      </w:tr>
      <w:tr w:rsidR="00401DB8" w:rsidRPr="00401DB8" w14:paraId="09557AD5" w14:textId="77777777" w:rsidTr="00401DB8">
        <w:trPr>
          <w:jc w:val="center"/>
        </w:trPr>
        <w:tc>
          <w:tcPr>
            <w:tcW w:w="4445" w:type="dxa"/>
            <w:shd w:val="clear" w:color="auto" w:fill="FFFFFF" w:themeFill="background1"/>
            <w:vAlign w:val="center"/>
          </w:tcPr>
          <w:p w14:paraId="32968B49" w14:textId="77777777" w:rsidR="001B441F" w:rsidRPr="00401DB8" w:rsidRDefault="00706A3E" w:rsidP="00401DB8">
            <w:pPr>
              <w:spacing w:after="20"/>
              <w:ind w:left="91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Ilość zaoszczędzonej energii elektrycznej</w:t>
            </w:r>
          </w:p>
        </w:tc>
        <w:tc>
          <w:tcPr>
            <w:tcW w:w="3286" w:type="dxa"/>
            <w:shd w:val="clear" w:color="auto" w:fill="FFFFFF" w:themeFill="background1"/>
            <w:vAlign w:val="center"/>
          </w:tcPr>
          <w:p w14:paraId="546A4B9B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17,69 MWh/rok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0CE35C38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audyt ex post</w:t>
            </w:r>
          </w:p>
        </w:tc>
      </w:tr>
      <w:tr w:rsidR="00401DB8" w:rsidRPr="00401DB8" w14:paraId="1F0976DE" w14:textId="77777777" w:rsidTr="00401DB8">
        <w:trPr>
          <w:jc w:val="center"/>
        </w:trPr>
        <w:tc>
          <w:tcPr>
            <w:tcW w:w="4445" w:type="dxa"/>
            <w:shd w:val="clear" w:color="auto" w:fill="FFFFFF" w:themeFill="background1"/>
            <w:vAlign w:val="center"/>
          </w:tcPr>
          <w:p w14:paraId="2F55F07B" w14:textId="77777777" w:rsidR="001B441F" w:rsidRPr="00401DB8" w:rsidRDefault="00706A3E" w:rsidP="00401DB8">
            <w:pPr>
              <w:spacing w:after="20"/>
              <w:ind w:left="91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Ilość zaoszczędzonej energii cieplnej</w:t>
            </w:r>
          </w:p>
        </w:tc>
        <w:tc>
          <w:tcPr>
            <w:tcW w:w="3286" w:type="dxa"/>
            <w:shd w:val="clear" w:color="auto" w:fill="FFFFFF" w:themeFill="background1"/>
            <w:vAlign w:val="center"/>
          </w:tcPr>
          <w:p w14:paraId="0EF773E1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67,64 MWh/rok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4625465F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audyt ex post</w:t>
            </w:r>
          </w:p>
        </w:tc>
      </w:tr>
      <w:tr w:rsidR="00401DB8" w:rsidRPr="00401DB8" w14:paraId="4A8223C1" w14:textId="77777777" w:rsidTr="00401DB8">
        <w:trPr>
          <w:jc w:val="center"/>
        </w:trPr>
        <w:tc>
          <w:tcPr>
            <w:tcW w:w="4445" w:type="dxa"/>
            <w:shd w:val="clear" w:color="auto" w:fill="FFFFFF" w:themeFill="background1"/>
            <w:vAlign w:val="center"/>
          </w:tcPr>
          <w:p w14:paraId="4921D9A5" w14:textId="77777777" w:rsidR="001B441F" w:rsidRPr="00401DB8" w:rsidRDefault="00706A3E" w:rsidP="00401DB8">
            <w:pPr>
              <w:spacing w:after="20"/>
              <w:ind w:left="91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Szacowana emisja gazów cieplarnianych</w:t>
            </w:r>
          </w:p>
        </w:tc>
        <w:tc>
          <w:tcPr>
            <w:tcW w:w="3286" w:type="dxa"/>
            <w:shd w:val="clear" w:color="auto" w:fill="FFFFFF" w:themeFill="background1"/>
            <w:vAlign w:val="center"/>
          </w:tcPr>
          <w:p w14:paraId="32A77538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27,02 t CO₂/rok</w:t>
            </w: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br/>
              <w:t>(z 58,68 t CO₂/rok bazowo)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5D48BCDC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audyt ex post</w:t>
            </w:r>
          </w:p>
        </w:tc>
      </w:tr>
      <w:tr w:rsidR="00401DB8" w:rsidRPr="00401DB8" w14:paraId="42AE3D4A" w14:textId="77777777" w:rsidTr="00401DB8">
        <w:trPr>
          <w:jc w:val="center"/>
        </w:trPr>
        <w:tc>
          <w:tcPr>
            <w:tcW w:w="4445" w:type="dxa"/>
            <w:shd w:val="clear" w:color="auto" w:fill="FFFFFF" w:themeFill="background1"/>
            <w:vAlign w:val="center"/>
          </w:tcPr>
          <w:p w14:paraId="7DA2892A" w14:textId="77777777" w:rsidR="001B441F" w:rsidRPr="00401DB8" w:rsidRDefault="00706A3E" w:rsidP="00401DB8">
            <w:pPr>
              <w:spacing w:after="20"/>
              <w:ind w:left="91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Roczne zużycie energii pierwotnej w budynkach publicznych</w:t>
            </w:r>
          </w:p>
        </w:tc>
        <w:tc>
          <w:tcPr>
            <w:tcW w:w="3286" w:type="dxa"/>
            <w:shd w:val="clear" w:color="auto" w:fill="FFFFFF" w:themeFill="background1"/>
            <w:vAlign w:val="center"/>
          </w:tcPr>
          <w:p w14:paraId="5F74F93B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119,39 MWh/rok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258A38B5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audyt ex post</w:t>
            </w:r>
          </w:p>
        </w:tc>
      </w:tr>
      <w:tr w:rsidR="00401DB8" w:rsidRPr="00401DB8" w14:paraId="6E3516DE" w14:textId="77777777" w:rsidTr="00401DB8">
        <w:trPr>
          <w:jc w:val="center"/>
        </w:trPr>
        <w:tc>
          <w:tcPr>
            <w:tcW w:w="4445" w:type="dxa"/>
            <w:shd w:val="clear" w:color="auto" w:fill="FFFFFF" w:themeFill="background1"/>
            <w:vAlign w:val="center"/>
          </w:tcPr>
          <w:p w14:paraId="317208F0" w14:textId="77777777" w:rsidR="001B441F" w:rsidRPr="00401DB8" w:rsidRDefault="00706A3E" w:rsidP="00401DB8">
            <w:pPr>
              <w:spacing w:after="20"/>
              <w:ind w:left="91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Budynki publiczne o udoskonalonej charakterystyce energetycznej</w:t>
            </w:r>
          </w:p>
        </w:tc>
        <w:tc>
          <w:tcPr>
            <w:tcW w:w="3286" w:type="dxa"/>
            <w:shd w:val="clear" w:color="auto" w:fill="FFFFFF" w:themeFill="background1"/>
            <w:vAlign w:val="center"/>
          </w:tcPr>
          <w:p w14:paraId="7ECDBCD8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964,31 m²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35D2AC9F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świadectwo charakterystyki energetycznej</w:t>
            </w:r>
          </w:p>
        </w:tc>
      </w:tr>
      <w:tr w:rsidR="00401DB8" w:rsidRPr="00401DB8" w14:paraId="74A5E953" w14:textId="77777777" w:rsidTr="00401DB8">
        <w:trPr>
          <w:jc w:val="center"/>
        </w:trPr>
        <w:tc>
          <w:tcPr>
            <w:tcW w:w="4445" w:type="dxa"/>
            <w:shd w:val="clear" w:color="auto" w:fill="FFFFFF" w:themeFill="background1"/>
            <w:vAlign w:val="center"/>
          </w:tcPr>
          <w:p w14:paraId="05BB2AF4" w14:textId="77777777" w:rsidR="001B441F" w:rsidRPr="00401DB8" w:rsidRDefault="00706A3E" w:rsidP="00401DB8">
            <w:pPr>
              <w:spacing w:after="20"/>
              <w:ind w:left="91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Dodatkowa zdolność wytwarzania energii elektrycznej z OZE</w:t>
            </w:r>
          </w:p>
        </w:tc>
        <w:tc>
          <w:tcPr>
            <w:tcW w:w="3286" w:type="dxa"/>
            <w:shd w:val="clear" w:color="auto" w:fill="FFFFFF" w:themeFill="background1"/>
            <w:vAlign w:val="center"/>
          </w:tcPr>
          <w:p w14:paraId="786B801E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0,0300 MW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4F1F08EA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audyt ex post</w:t>
            </w:r>
          </w:p>
        </w:tc>
      </w:tr>
      <w:tr w:rsidR="00401DB8" w:rsidRPr="00401DB8" w14:paraId="5433F756" w14:textId="77777777" w:rsidTr="00401DB8">
        <w:trPr>
          <w:jc w:val="center"/>
        </w:trPr>
        <w:tc>
          <w:tcPr>
            <w:tcW w:w="4445" w:type="dxa"/>
            <w:shd w:val="clear" w:color="auto" w:fill="FFFFFF" w:themeFill="background1"/>
            <w:vAlign w:val="center"/>
          </w:tcPr>
          <w:p w14:paraId="1BF4F9B5" w14:textId="77777777" w:rsidR="001B441F" w:rsidRPr="00401DB8" w:rsidRDefault="00706A3E" w:rsidP="00401DB8">
            <w:pPr>
              <w:spacing w:after="20"/>
              <w:ind w:left="91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Dodatkowa zdolność wytwarzania energii cieplnej z OZE</w:t>
            </w:r>
          </w:p>
        </w:tc>
        <w:tc>
          <w:tcPr>
            <w:tcW w:w="3286" w:type="dxa"/>
            <w:shd w:val="clear" w:color="auto" w:fill="FFFFFF" w:themeFill="background1"/>
            <w:vAlign w:val="center"/>
          </w:tcPr>
          <w:p w14:paraId="201C659B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0,0635 MW</w:t>
            </w:r>
          </w:p>
        </w:tc>
        <w:tc>
          <w:tcPr>
            <w:tcW w:w="2442" w:type="dxa"/>
            <w:shd w:val="clear" w:color="auto" w:fill="FFFFFF" w:themeFill="background1"/>
            <w:vAlign w:val="center"/>
          </w:tcPr>
          <w:p w14:paraId="7C729E68" w14:textId="77777777" w:rsidR="001B441F" w:rsidRPr="00401DB8" w:rsidRDefault="00706A3E" w:rsidP="00401DB8">
            <w:pPr>
              <w:spacing w:after="20"/>
              <w:ind w:left="91"/>
              <w:jc w:val="center"/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</w:pPr>
            <w:r w:rsidRPr="00401DB8">
              <w:rPr>
                <w:rFonts w:asciiTheme="minorHAnsi" w:hAnsiTheme="minorHAnsi"/>
                <w:color w:val="auto"/>
                <w:sz w:val="20"/>
                <w:szCs w:val="20"/>
                <w:lang w:val="pl-PL"/>
              </w:rPr>
              <w:t>audyt ex post</w:t>
            </w:r>
          </w:p>
        </w:tc>
      </w:tr>
    </w:tbl>
    <w:p w14:paraId="68A48C4F" w14:textId="77777777" w:rsidR="001B441F" w:rsidRPr="00401DB8" w:rsidRDefault="00706A3E" w:rsidP="00401DB8">
      <w:pPr>
        <w:pStyle w:val="Akapitzlist"/>
        <w:numPr>
          <w:ilvl w:val="0"/>
          <w:numId w:val="11"/>
        </w:numPr>
        <w:spacing w:before="160" w:after="8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Trwałość rezultatów</w:t>
      </w:r>
    </w:p>
    <w:p w14:paraId="0BA7AC63" w14:textId="77777777" w:rsidR="001B441F" w:rsidRPr="00401DB8" w:rsidRDefault="00706A3E" w:rsidP="00401DB8">
      <w:pPr>
        <w:pStyle w:val="Akapitzlist"/>
        <w:spacing w:after="12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Dokumentacja projektu przewiduje utrzymanie rezultatów przez co najmniej 5 lat od dnia płatności końcowej. W tym okresie zapewnione mają być środki na eksploatację budynku, konserwację i serwis instalacji grzewczej, pomp ciepła, instalacji fotowoltaicznej, oświetlenia LED, stolarki oraz monitoring efektywności energetycznej.</w:t>
      </w:r>
    </w:p>
    <w:p w14:paraId="3A8D04D8" w14:textId="77777777" w:rsidR="001B441F" w:rsidRPr="00401DB8" w:rsidRDefault="00706A3E" w:rsidP="00401DB8">
      <w:pPr>
        <w:pStyle w:val="Akapitzlist"/>
        <w:numPr>
          <w:ilvl w:val="0"/>
          <w:numId w:val="11"/>
        </w:numPr>
        <w:spacing w:before="160" w:after="8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Wniosek końcowy</w:t>
      </w:r>
    </w:p>
    <w:p w14:paraId="4EFF92C2" w14:textId="77777777" w:rsidR="001B441F" w:rsidRPr="00401DB8" w:rsidRDefault="00706A3E" w:rsidP="00401DB8">
      <w:pPr>
        <w:pStyle w:val="Akapitzlist"/>
        <w:spacing w:after="16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b/>
          <w:color w:val="auto"/>
          <w:sz w:val="20"/>
          <w:szCs w:val="20"/>
          <w:lang w:val="pl-PL"/>
        </w:rPr>
        <w:t>Na podstawie dokumentów źródłowych stwierdza się, że projekt „Termomodernizacja Muzeum im. Przypkowskich w Jędrzejowie” jest zgodny z zasadą DNSH, wspiera cele klimatyczne i energetyczne oraz nie przewiduje znaczącej szkody dla środowiska.</w:t>
      </w:r>
    </w:p>
    <w:p w14:paraId="3DADF079" w14:textId="77777777" w:rsidR="001B441F" w:rsidRPr="00401DB8" w:rsidRDefault="00706A3E">
      <w:pPr>
        <w:spacing w:before="200" w:after="28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Sporządził(a): ...............................................</w:t>
      </w:r>
    </w:p>
    <w:p w14:paraId="54EF1D2F" w14:textId="77777777" w:rsidR="001B441F" w:rsidRPr="00401DB8" w:rsidRDefault="00706A3E">
      <w:pPr>
        <w:spacing w:after="0"/>
        <w:rPr>
          <w:rFonts w:asciiTheme="minorHAnsi" w:hAnsiTheme="minorHAnsi"/>
          <w:color w:val="auto"/>
          <w:sz w:val="20"/>
          <w:szCs w:val="20"/>
          <w:lang w:val="pl-PL"/>
        </w:rPr>
      </w:pPr>
      <w:r w:rsidRPr="00401DB8">
        <w:rPr>
          <w:rFonts w:asciiTheme="minorHAnsi" w:hAnsiTheme="minorHAnsi"/>
          <w:color w:val="auto"/>
          <w:sz w:val="20"/>
          <w:szCs w:val="20"/>
          <w:lang w:val="pl-PL"/>
        </w:rPr>
        <w:t>Data: ............................................................</w:t>
      </w:r>
    </w:p>
    <w:sectPr w:rsidR="001B441F" w:rsidRPr="00401DB8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B938D" w14:textId="77777777" w:rsidR="000622AD" w:rsidRDefault="000622AD">
      <w:pPr>
        <w:spacing w:after="0" w:line="240" w:lineRule="auto"/>
      </w:pPr>
      <w:r>
        <w:separator/>
      </w:r>
    </w:p>
  </w:endnote>
  <w:endnote w:type="continuationSeparator" w:id="0">
    <w:p w14:paraId="01BBA747" w14:textId="77777777" w:rsidR="000622AD" w:rsidRDefault="0006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BFE2" w14:textId="77777777" w:rsidR="001358CD" w:rsidRDefault="001358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0E48" w14:textId="77777777" w:rsidR="001358CD" w:rsidRDefault="001358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7C92" w14:textId="77777777" w:rsidR="001358CD" w:rsidRDefault="001358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DF35D" w14:textId="77777777" w:rsidR="000622AD" w:rsidRDefault="000622AD">
      <w:pPr>
        <w:spacing w:after="0" w:line="240" w:lineRule="auto"/>
      </w:pPr>
      <w:r>
        <w:separator/>
      </w:r>
    </w:p>
  </w:footnote>
  <w:footnote w:type="continuationSeparator" w:id="0">
    <w:p w14:paraId="777315FE" w14:textId="77777777" w:rsidR="000622AD" w:rsidRDefault="00062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1451" w14:textId="77777777" w:rsidR="001358CD" w:rsidRDefault="001358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168D0" w14:textId="53ECA44D" w:rsidR="001358CD" w:rsidRPr="00692ED0" w:rsidRDefault="001358CD" w:rsidP="001358CD">
    <w:pPr>
      <w:tabs>
        <w:tab w:val="center" w:pos="4536"/>
        <w:tab w:val="right" w:pos="9072"/>
      </w:tabs>
      <w:ind w:left="291" w:right="62" w:hanging="291"/>
      <w:jc w:val="both"/>
      <w:rPr>
        <w:rFonts w:ascii="Cambria" w:eastAsia="Cambria" w:hAnsi="Cambria" w:cs="Cambria"/>
        <w:color w:val="000000"/>
        <w:kern w:val="2"/>
        <w:sz w:val="20"/>
      </w:rPr>
    </w:pPr>
    <w:r w:rsidRPr="00692ED0">
      <w:rPr>
        <w:rFonts w:ascii="Cambria" w:eastAsia="Cambria" w:hAnsi="Cambria" w:cs="Cambria"/>
        <w:noProof/>
        <w:color w:val="000000"/>
        <w:kern w:val="2"/>
        <w:sz w:val="20"/>
      </w:rPr>
      <w:drawing>
        <wp:inline distT="0" distB="0" distL="0" distR="0" wp14:anchorId="05A5AA42" wp14:editId="485DDCCE">
          <wp:extent cx="5756910" cy="707390"/>
          <wp:effectExtent l="0" t="0" r="0" b="0"/>
          <wp:docPr id="1087056531" name="Obraz 1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logotypy służące do oznaczania projektów współfinansowanych z UE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5ACAE2" w14:textId="3867F32B" w:rsidR="001358CD" w:rsidRPr="001358CD" w:rsidRDefault="001358CD" w:rsidP="001358CD">
    <w:pPr>
      <w:spacing w:line="259" w:lineRule="auto"/>
      <w:ind w:left="141"/>
      <w:rPr>
        <w:rFonts w:ascii="Cambria" w:eastAsia="Cambria" w:hAnsi="Cambria" w:cs="Cambria"/>
        <w:b/>
        <w:kern w:val="2"/>
        <w:sz w:val="20"/>
      </w:rPr>
    </w:pPr>
    <w:r w:rsidRPr="00692ED0">
      <w:rPr>
        <w:rFonts w:ascii="Cambria" w:eastAsia="Cambria" w:hAnsi="Cambria" w:cs="Cambria"/>
        <w:b/>
        <w:kern w:val="2"/>
        <w:sz w:val="20"/>
      </w:rPr>
      <w:t>Nr referencyjny: IP-III.272.4.2026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65D5" w14:textId="77777777" w:rsidR="001358CD" w:rsidRDefault="001358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245237"/>
    <w:multiLevelType w:val="hybridMultilevel"/>
    <w:tmpl w:val="14D4729A"/>
    <w:lvl w:ilvl="0" w:tplc="37F29F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C673D"/>
    <w:multiLevelType w:val="hybridMultilevel"/>
    <w:tmpl w:val="B9AEB8D0"/>
    <w:lvl w:ilvl="0" w:tplc="E0A49A5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AB4035"/>
    <w:multiLevelType w:val="hybridMultilevel"/>
    <w:tmpl w:val="CE9CF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A6014"/>
    <w:multiLevelType w:val="hybridMultilevel"/>
    <w:tmpl w:val="332A2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A46EC4"/>
    <w:multiLevelType w:val="hybridMultilevel"/>
    <w:tmpl w:val="2E781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76982"/>
    <w:multiLevelType w:val="hybridMultilevel"/>
    <w:tmpl w:val="2B8AD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602362">
    <w:abstractNumId w:val="8"/>
  </w:num>
  <w:num w:numId="2" w16cid:durableId="16468697">
    <w:abstractNumId w:val="6"/>
  </w:num>
  <w:num w:numId="3" w16cid:durableId="292105431">
    <w:abstractNumId w:val="5"/>
  </w:num>
  <w:num w:numId="4" w16cid:durableId="625820016">
    <w:abstractNumId w:val="4"/>
  </w:num>
  <w:num w:numId="5" w16cid:durableId="75906734">
    <w:abstractNumId w:val="7"/>
  </w:num>
  <w:num w:numId="6" w16cid:durableId="2119253842">
    <w:abstractNumId w:val="3"/>
  </w:num>
  <w:num w:numId="7" w16cid:durableId="1212231566">
    <w:abstractNumId w:val="2"/>
  </w:num>
  <w:num w:numId="8" w16cid:durableId="449395585">
    <w:abstractNumId w:val="1"/>
  </w:num>
  <w:num w:numId="9" w16cid:durableId="608854126">
    <w:abstractNumId w:val="0"/>
  </w:num>
  <w:num w:numId="10" w16cid:durableId="31658874">
    <w:abstractNumId w:val="10"/>
  </w:num>
  <w:num w:numId="11" w16cid:durableId="1369258236">
    <w:abstractNumId w:val="14"/>
  </w:num>
  <w:num w:numId="12" w16cid:durableId="1405252200">
    <w:abstractNumId w:val="9"/>
  </w:num>
  <w:num w:numId="13" w16cid:durableId="1749688674">
    <w:abstractNumId w:val="13"/>
  </w:num>
  <w:num w:numId="14" w16cid:durableId="255212061">
    <w:abstractNumId w:val="12"/>
  </w:num>
  <w:num w:numId="15" w16cid:durableId="17517336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22AD"/>
    <w:rsid w:val="001358CD"/>
    <w:rsid w:val="0015074B"/>
    <w:rsid w:val="001B441F"/>
    <w:rsid w:val="002424DD"/>
    <w:rsid w:val="0029639D"/>
    <w:rsid w:val="00326F90"/>
    <w:rsid w:val="00401DB8"/>
    <w:rsid w:val="00706A3E"/>
    <w:rsid w:val="008C24EA"/>
    <w:rsid w:val="00AA1D8D"/>
    <w:rsid w:val="00AC72D9"/>
    <w:rsid w:val="00B47730"/>
    <w:rsid w:val="00CB0664"/>
    <w:rsid w:val="00D30961"/>
    <w:rsid w:val="00E059C0"/>
    <w:rsid w:val="00EA0CD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8D394E"/>
  <w14:defaultImageDpi w14:val="300"/>
  <w15:docId w15:val="{BF40B586-A0A0-43F6-9E4D-D0D56CC5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ptos" w:hAnsi="Aptos"/>
      <w:color w:val="444444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CBECD9-D789-4CB9-98B9-4CA0A1A3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cp:lastModifiedBy>User</cp:lastModifiedBy>
  <cp:revision>6</cp:revision>
  <dcterms:created xsi:type="dcterms:W3CDTF">2013-12-23T23:15:00Z</dcterms:created>
  <dcterms:modified xsi:type="dcterms:W3CDTF">2026-04-16T11:57:00Z</dcterms:modified>
  <cp:category/>
</cp:coreProperties>
</file>